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spacing w:after="0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Деятельность психолого-медико-педагогической комиссии.</w:t>
      </w:r>
    </w:p>
    <w:p w14:paraId="03000000">
      <w:pPr>
        <w:spacing w:after="0" w:before="24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состоянию на 01.01.</w:t>
      </w:r>
      <w:r>
        <w:rPr>
          <w:rFonts w:ascii="Times New Roman" w:hAnsi="Times New Roman"/>
          <w:sz w:val="28"/>
        </w:rPr>
        <w:t xml:space="preserve">2026 г., в 2025 году проведено 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заседаний ПМПК</w:t>
      </w:r>
      <w:r>
        <w:rPr>
          <w:rFonts w:ascii="Times New Roman" w:hAnsi="Times New Roman"/>
          <w:sz w:val="28"/>
        </w:rPr>
        <w:t xml:space="preserve">, в </w:t>
      </w:r>
      <w:r>
        <w:rPr>
          <w:rFonts w:ascii="Times New Roman" w:hAnsi="Times New Roman"/>
          <w:sz w:val="28"/>
        </w:rPr>
        <w:t>т.ч</w:t>
      </w:r>
      <w:r>
        <w:rPr>
          <w:rFonts w:ascii="Times New Roman" w:hAnsi="Times New Roman"/>
          <w:sz w:val="28"/>
        </w:rPr>
        <w:t>. 1 заседание в РПМПК</w:t>
      </w:r>
      <w:r>
        <w:rPr>
          <w:rFonts w:ascii="Times New Roman" w:hAnsi="Times New Roman"/>
          <w:sz w:val="28"/>
        </w:rPr>
        <w:t xml:space="preserve">. Обследовано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детей</w:t>
      </w:r>
      <w:r>
        <w:rPr>
          <w:rFonts w:ascii="Times New Roman" w:hAnsi="Times New Roman"/>
          <w:sz w:val="28"/>
        </w:rPr>
        <w:t xml:space="preserve">, выдано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коллегиальных заключений с рекомендациями,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детей направлено</w:t>
      </w:r>
      <w:r>
        <w:rPr>
          <w:rFonts w:ascii="Times New Roman" w:hAnsi="Times New Roman"/>
          <w:sz w:val="28"/>
        </w:rPr>
        <w:t xml:space="preserve"> на обследование у медицинских специалистов.</w:t>
      </w:r>
    </w:p>
    <w:p w14:paraId="04000000">
      <w:pPr>
        <w:spacing w:after="0" w:before="24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Динамика обследованных де</w:t>
      </w:r>
      <w:r>
        <w:rPr>
          <w:rFonts w:ascii="Times New Roman" w:hAnsi="Times New Roman"/>
          <w:b w:val="1"/>
          <w:sz w:val="28"/>
        </w:rPr>
        <w:t>тей-инвалидов и ОВЗ за 201</w:t>
      </w:r>
      <w:r>
        <w:rPr>
          <w:rFonts w:ascii="Times New Roman" w:hAnsi="Times New Roman"/>
          <w:b w:val="1"/>
          <w:sz w:val="28"/>
        </w:rPr>
        <w:t>3</w:t>
      </w:r>
      <w:r>
        <w:rPr>
          <w:rFonts w:ascii="Times New Roman" w:hAnsi="Times New Roman"/>
          <w:b w:val="1"/>
          <w:sz w:val="28"/>
        </w:rPr>
        <w:t>-2025</w:t>
      </w:r>
      <w:r>
        <w:rPr>
          <w:rFonts w:ascii="Times New Roman" w:hAnsi="Times New Roman"/>
          <w:b w:val="1"/>
          <w:sz w:val="28"/>
        </w:rPr>
        <w:t xml:space="preserve"> гг.</w:t>
      </w:r>
    </w:p>
    <w:tbl>
      <w:tblPr>
        <w:tblStyle w:val="Style_2"/>
        <w:tblInd w:type="dxa" w:w="-3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801"/>
        <w:gridCol w:w="1499"/>
        <w:gridCol w:w="1950"/>
        <w:gridCol w:w="1200"/>
        <w:gridCol w:w="2099"/>
        <w:gridCol w:w="1800"/>
      </w:tblGrid>
      <w:tr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1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заседаний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Обследовано</w:t>
            </w:r>
          </w:p>
          <w:p w14:paraId="08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детей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дошкольники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школьники</w:t>
            </w:r>
          </w:p>
        </w:tc>
      </w:tr>
      <w:tr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2013-2014 </w:t>
            </w:r>
          </w:p>
        </w:tc>
        <w:tc>
          <w:tcPr>
            <w:tcW w:type="dxa" w:w="1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7-16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2014-2015</w:t>
            </w:r>
          </w:p>
        </w:tc>
        <w:tc>
          <w:tcPr>
            <w:tcW w:type="dxa" w:w="1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6-12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2015-2016</w:t>
            </w:r>
          </w:p>
        </w:tc>
        <w:tc>
          <w:tcPr>
            <w:tcW w:type="dxa" w:w="1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2-17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</w:tr>
      <w:tr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2016-2017 </w:t>
            </w:r>
          </w:p>
        </w:tc>
        <w:tc>
          <w:tcPr>
            <w:tcW w:type="dxa" w:w="1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1-17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</w:tr>
      <w:tr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2017-2018 </w:t>
            </w:r>
          </w:p>
        </w:tc>
        <w:tc>
          <w:tcPr>
            <w:tcW w:type="dxa" w:w="1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1-17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</w:tr>
      <w:tr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2018-2019 </w:t>
            </w:r>
          </w:p>
        </w:tc>
        <w:tc>
          <w:tcPr>
            <w:tcW w:type="dxa" w:w="1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0-17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</w:tr>
      <w:tr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2019-2020</w:t>
            </w:r>
          </w:p>
        </w:tc>
        <w:tc>
          <w:tcPr>
            <w:tcW w:type="dxa" w:w="1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1-17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</w:tr>
      <w:tr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2020-2021</w:t>
            </w:r>
          </w:p>
        </w:tc>
        <w:tc>
          <w:tcPr>
            <w:tcW w:type="dxa" w:w="1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2-17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</w:tr>
      <w:tr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2021-2022</w:t>
            </w:r>
          </w:p>
        </w:tc>
        <w:tc>
          <w:tcPr>
            <w:tcW w:type="dxa" w:w="1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3-17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</w:tr>
      <w:tr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2022-2023</w:t>
            </w:r>
          </w:p>
        </w:tc>
        <w:tc>
          <w:tcPr>
            <w:tcW w:type="dxa" w:w="1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2-17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</w:tr>
      <w:tr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2023-2024</w:t>
            </w:r>
          </w:p>
        </w:tc>
        <w:tc>
          <w:tcPr>
            <w:tcW w:type="dxa" w:w="1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4-17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</w:tr>
      <w:tr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2024-2025</w:t>
            </w:r>
          </w:p>
        </w:tc>
        <w:tc>
          <w:tcPr>
            <w:tcW w:type="dxa" w:w="1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3-17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</w:tr>
      <w:tr>
        <w:tc>
          <w:tcPr>
            <w:tcW w:type="dxa" w:w="1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2025-2026</w:t>
            </w:r>
          </w:p>
        </w:tc>
        <w:tc>
          <w:tcPr>
            <w:tcW w:type="dxa" w:w="1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9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4-17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  <w:bookmarkStart w:id="1" w:name="_GoBack"/>
            <w:bookmarkEnd w:id="1"/>
          </w:p>
        </w:tc>
      </w:tr>
    </w:tbl>
    <w:p w14:paraId="5A000000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tbl>
      <w:tblPr>
        <w:tblStyle w:val="Style_3"/>
        <w:tblInd w:type="dxa" w:w="-318"/>
        <w:tblLayout w:type="fixed"/>
      </w:tblPr>
      <w:tblGrid>
        <w:gridCol w:w="1702"/>
        <w:gridCol w:w="1985"/>
        <w:gridCol w:w="2693"/>
        <w:gridCol w:w="1701"/>
        <w:gridCol w:w="1843"/>
      </w:tblGrid>
      <w:tr>
        <w:tc>
          <w:tcPr>
            <w:tcW w:type="dxa" w:w="1702"/>
          </w:tcPr>
          <w:p w14:paraId="5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Обследовано детей</w:t>
            </w:r>
          </w:p>
        </w:tc>
        <w:tc>
          <w:tcPr>
            <w:tcW w:type="dxa" w:w="1985"/>
          </w:tcPr>
          <w:p w14:paraId="5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Имеющие</w:t>
            </w:r>
            <w:r>
              <w:rPr>
                <w:rFonts w:ascii="Times New Roman" w:hAnsi="Times New Roman"/>
                <w:sz w:val="24"/>
              </w:rPr>
              <w:t xml:space="preserve"> инвалидность</w:t>
            </w:r>
          </w:p>
        </w:tc>
        <w:tc>
          <w:tcPr>
            <w:tcW w:type="dxa" w:w="2693"/>
          </w:tcPr>
          <w:p w14:paraId="5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имеющие </w:t>
            </w:r>
            <w:r>
              <w:rPr>
                <w:rFonts w:ascii="Times New Roman" w:hAnsi="Times New Roman"/>
                <w:sz w:val="24"/>
              </w:rPr>
              <w:t>установленной инвалидности</w:t>
            </w:r>
          </w:p>
        </w:tc>
        <w:tc>
          <w:tcPr>
            <w:tcW w:type="dxa" w:w="1701"/>
          </w:tcPr>
          <w:p w14:paraId="5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Первичное обращение</w:t>
            </w:r>
          </w:p>
        </w:tc>
        <w:tc>
          <w:tcPr>
            <w:tcW w:type="dxa" w:w="1843"/>
          </w:tcPr>
          <w:p w14:paraId="5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Повторное обращение</w:t>
            </w:r>
          </w:p>
        </w:tc>
      </w:tr>
      <w:tr>
        <w:tc>
          <w:tcPr>
            <w:tcW w:type="dxa" w:w="1702"/>
          </w:tcPr>
          <w:p w14:paraId="60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38</w:t>
            </w:r>
          </w:p>
        </w:tc>
        <w:tc>
          <w:tcPr>
            <w:tcW w:type="dxa" w:w="1985"/>
          </w:tcPr>
          <w:p w14:paraId="61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type="dxa" w:w="2693"/>
          </w:tcPr>
          <w:p w14:paraId="6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</w:t>
            </w:r>
          </w:p>
        </w:tc>
        <w:tc>
          <w:tcPr>
            <w:tcW w:type="dxa" w:w="1701"/>
          </w:tcPr>
          <w:p w14:paraId="6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12</w:t>
            </w:r>
          </w:p>
        </w:tc>
        <w:tc>
          <w:tcPr>
            <w:tcW w:type="dxa" w:w="1843"/>
          </w:tcPr>
          <w:p w14:paraId="6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  <w:r>
              <w:rPr>
                <w:rFonts w:ascii="Times New Roman" w:hAnsi="Times New Roman"/>
                <w:b w:val="1"/>
                <w:sz w:val="24"/>
              </w:rPr>
              <w:t>6</w:t>
            </w:r>
          </w:p>
        </w:tc>
      </w:tr>
    </w:tbl>
    <w:tbl>
      <w:tblPr>
        <w:tblStyle w:val="Style_2"/>
        <w:tblInd w:type="dxa" w:w="-3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52"/>
        <w:gridCol w:w="992"/>
        <w:gridCol w:w="1701"/>
        <w:gridCol w:w="1559"/>
        <w:gridCol w:w="1276"/>
        <w:gridCol w:w="1701"/>
        <w:gridCol w:w="1984"/>
        <w:gridCol w:w="1134"/>
      </w:tblGrid>
      <w:tr>
        <w:tc>
          <w:tcPr>
            <w:tcW w:type="dxa" w:w="11199"/>
            <w:gridSpan w:val="8"/>
            <w:tcBorders>
              <w:top w:sz="4" w:val="nil"/>
              <w:left w:sz="4" w:val="nil"/>
              <w:bottom w:color="000000" w:sz="4" w:val="single"/>
              <w:right w:sz="4" w:val="nil"/>
            </w:tcBorders>
          </w:tcPr>
          <w:p w14:paraId="65000000">
            <w:pPr>
              <w:spacing w:after="0"/>
              <w:ind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291"/>
        </w:trPr>
        <w:tc>
          <w:tcPr>
            <w:tcW w:type="dxa" w:w="18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Инициатор обращения</w:t>
            </w:r>
          </w:p>
        </w:tc>
        <w:tc>
          <w:tcPr>
            <w:tcW w:type="dxa" w:w="935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Причина обращения</w:t>
            </w:r>
          </w:p>
        </w:tc>
      </w:tr>
      <w:tr>
        <w:trPr>
          <w:trHeight w:hRule="atLeast" w:val="1200"/>
        </w:trP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</w:t>
            </w:r>
            <w:r>
              <w:rPr>
                <w:rFonts w:ascii="Times New Roman" w:hAnsi="Times New Roman"/>
                <w:sz w:val="24"/>
              </w:rPr>
              <w:t>-</w:t>
            </w:r>
          </w:p>
          <w:p w14:paraId="6A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Плохая успеваемость, трудности в освоение учебного материала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Для определения </w:t>
            </w:r>
            <w:r>
              <w:rPr>
                <w:rFonts w:ascii="Times New Roman" w:hAnsi="Times New Roman"/>
                <w:sz w:val="24"/>
              </w:rPr>
              <w:t>образова</w:t>
            </w:r>
            <w:r>
              <w:rPr>
                <w:rFonts w:ascii="Times New Roman" w:hAnsi="Times New Roman"/>
                <w:sz w:val="24"/>
              </w:rPr>
              <w:t>-тельного</w:t>
            </w:r>
            <w:r>
              <w:rPr>
                <w:rFonts w:ascii="Times New Roman" w:hAnsi="Times New Roman"/>
                <w:sz w:val="24"/>
              </w:rPr>
              <w:t xml:space="preserve"> маршрута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Выбор формы итоговой </w:t>
            </w:r>
            <w:r>
              <w:rPr>
                <w:rFonts w:ascii="Times New Roman" w:hAnsi="Times New Roman"/>
                <w:sz w:val="24"/>
              </w:rPr>
              <w:t>аттеста-ции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</w:t>
            </w:r>
            <w:r>
              <w:rPr>
                <w:rFonts w:ascii="Times New Roman" w:hAnsi="Times New Roman"/>
                <w:sz w:val="24"/>
              </w:rPr>
              <w:t>ичное направление на прохождение</w:t>
            </w:r>
            <w:r>
              <w:rPr>
                <w:rFonts w:ascii="Times New Roman" w:hAnsi="Times New Roman"/>
                <w:sz w:val="24"/>
              </w:rPr>
              <w:t xml:space="preserve"> МСЭ  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прохождения повторного МСЭ для подтверждения инвалидности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1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2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Консультация</w:t>
            </w:r>
          </w:p>
        </w:tc>
      </w:tr>
      <w:tr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</w:tr>
    </w:tbl>
    <w:p w14:paraId="7B000000">
      <w:pPr>
        <w:spacing w:after="0"/>
        <w:ind w:firstLine="567"/>
        <w:jc w:val="center"/>
        <w:rPr>
          <w:rFonts w:ascii="Times New Roman" w:hAnsi="Times New Roman"/>
          <w:b w:val="1"/>
          <w:sz w:val="28"/>
        </w:rPr>
      </w:pPr>
    </w:p>
    <w:p w14:paraId="7C000000">
      <w:pPr>
        <w:spacing w:after="0"/>
        <w:ind w:firstLine="567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</w:t>
      </w:r>
      <w:r>
        <w:rPr>
          <w:rFonts w:ascii="Times New Roman" w:hAnsi="Times New Roman"/>
          <w:b w:val="1"/>
          <w:sz w:val="24"/>
        </w:rPr>
        <w:t>Характер нарушений</w:t>
      </w:r>
    </w:p>
    <w:tbl>
      <w:tblPr>
        <w:tblStyle w:val="Style_3"/>
        <w:tblInd w:type="dxa" w:w="-318"/>
        <w:tblLayout w:type="fixed"/>
      </w:tblPr>
      <w:tblGrid>
        <w:gridCol w:w="894"/>
        <w:gridCol w:w="993"/>
        <w:gridCol w:w="851"/>
        <w:gridCol w:w="1134"/>
        <w:gridCol w:w="2126"/>
        <w:gridCol w:w="2126"/>
      </w:tblGrid>
      <w:tr>
        <w:tc>
          <w:tcPr>
            <w:tcW w:type="dxa" w:w="894"/>
          </w:tcPr>
          <w:p w14:paraId="7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Речь </w:t>
            </w:r>
          </w:p>
        </w:tc>
        <w:tc>
          <w:tcPr>
            <w:tcW w:type="dxa" w:w="993"/>
          </w:tcPr>
          <w:p w14:paraId="7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НОДА</w:t>
            </w:r>
          </w:p>
        </w:tc>
        <w:tc>
          <w:tcPr>
            <w:tcW w:type="dxa" w:w="851"/>
          </w:tcPr>
          <w:p w14:paraId="7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</w:t>
            </w:r>
          </w:p>
        </w:tc>
        <w:tc>
          <w:tcPr>
            <w:tcW w:type="dxa" w:w="1134"/>
          </w:tcPr>
          <w:p w14:paraId="8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УО</w:t>
            </w:r>
          </w:p>
        </w:tc>
        <w:tc>
          <w:tcPr>
            <w:tcW w:type="dxa" w:w="2126"/>
          </w:tcPr>
          <w:p w14:paraId="8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Множественные  нарушения</w:t>
            </w:r>
          </w:p>
        </w:tc>
        <w:tc>
          <w:tcPr>
            <w:tcW w:type="dxa" w:w="2126"/>
          </w:tcPr>
          <w:p w14:paraId="8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Соматическое заболевание</w:t>
            </w:r>
          </w:p>
        </w:tc>
      </w:tr>
      <w:tr>
        <w:tc>
          <w:tcPr>
            <w:tcW w:type="dxa" w:w="894"/>
          </w:tcPr>
          <w:p w14:paraId="8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</w:t>
            </w:r>
          </w:p>
        </w:tc>
        <w:tc>
          <w:tcPr>
            <w:tcW w:type="dxa" w:w="993"/>
          </w:tcPr>
          <w:p w14:paraId="8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</w:t>
            </w:r>
          </w:p>
        </w:tc>
        <w:tc>
          <w:tcPr>
            <w:tcW w:type="dxa" w:w="851"/>
          </w:tcPr>
          <w:p w14:paraId="85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</w:t>
            </w:r>
          </w:p>
        </w:tc>
        <w:tc>
          <w:tcPr>
            <w:tcW w:type="dxa" w:w="1134"/>
          </w:tcPr>
          <w:p w14:paraId="86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  <w:r>
              <w:rPr>
                <w:rFonts w:ascii="Times New Roman" w:hAnsi="Times New Roman"/>
                <w:b w:val="1"/>
                <w:sz w:val="24"/>
              </w:rPr>
              <w:t>5</w:t>
            </w:r>
          </w:p>
        </w:tc>
        <w:tc>
          <w:tcPr>
            <w:tcW w:type="dxa" w:w="2126"/>
          </w:tcPr>
          <w:p w14:paraId="87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type="dxa" w:w="2126"/>
          </w:tcPr>
          <w:p w14:paraId="88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</w:t>
            </w:r>
          </w:p>
        </w:tc>
      </w:tr>
    </w:tbl>
    <w:p w14:paraId="89000000">
      <w:pPr>
        <w:spacing w:before="240"/>
        <w:ind w:firstLine="567"/>
        <w:jc w:val="both"/>
        <w:rPr>
          <w:rFonts w:ascii="Times New Roman" w:hAnsi="Times New Roman"/>
          <w:sz w:val="28"/>
        </w:rPr>
      </w:pPr>
    </w:p>
    <w:p w14:paraId="8A000000">
      <w:pPr>
        <w:spacing w:before="240"/>
        <w:ind w:firstLine="567"/>
        <w:jc w:val="both"/>
        <w:rPr>
          <w:rFonts w:ascii="Times New Roman" w:hAnsi="Times New Roman"/>
          <w:sz w:val="28"/>
        </w:rPr>
      </w:pPr>
    </w:p>
    <w:p w14:paraId="8B000000">
      <w:pPr>
        <w:spacing w:before="24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АООП ДОО </w:t>
      </w:r>
      <w:r>
        <w:rPr>
          <w:rFonts w:ascii="Times New Roman" w:hAnsi="Times New Roman"/>
          <w:sz w:val="28"/>
        </w:rPr>
        <w:t xml:space="preserve">                                АООП НОО и ОО</w:t>
      </w:r>
    </w:p>
    <w:tbl>
      <w:tblPr>
        <w:tblStyle w:val="Style_3"/>
        <w:tblLayout w:type="fixed"/>
      </w:tblPr>
      <w:tblGrid>
        <w:gridCol w:w="1275"/>
        <w:gridCol w:w="1243"/>
        <w:gridCol w:w="1067"/>
        <w:gridCol w:w="735"/>
        <w:gridCol w:w="735"/>
        <w:gridCol w:w="645"/>
        <w:gridCol w:w="690"/>
        <w:gridCol w:w="705"/>
        <w:gridCol w:w="765"/>
        <w:gridCol w:w="780"/>
      </w:tblGrid>
      <w:tr>
        <w:tc>
          <w:tcPr>
            <w:tcW w:type="dxa" w:w="1275"/>
          </w:tcPr>
          <w:p w14:paraId="8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НОДА</w:t>
            </w:r>
          </w:p>
        </w:tc>
        <w:tc>
          <w:tcPr>
            <w:tcW w:type="dxa" w:w="1243"/>
            <w:tcBorders>
              <w:right w:color="000000" w:sz="4" w:val="single"/>
            </w:tcBorders>
          </w:tcPr>
          <w:p w14:paraId="8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</w:t>
            </w:r>
          </w:p>
        </w:tc>
        <w:tc>
          <w:tcPr>
            <w:tcW w:type="dxa" w:w="1067"/>
            <w:vMerge w:val="restart"/>
            <w:tcBorders>
              <w:top w:sz="4" w:val="nil"/>
              <w:bottom w:sz="4" w:val="nil"/>
              <w:right w:color="000000" w:sz="4" w:val="single"/>
            </w:tcBorders>
          </w:tcPr>
          <w:p w14:paraId="8E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35"/>
            <w:tcBorders>
              <w:right w:color="000000" w:sz="4" w:val="single"/>
            </w:tcBorders>
          </w:tcPr>
          <w:p w14:paraId="8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</w:t>
            </w:r>
          </w:p>
        </w:tc>
        <w:tc>
          <w:tcPr>
            <w:tcW w:type="dxa" w:w="735"/>
            <w:tcBorders>
              <w:right w:color="000000" w:sz="4" w:val="single"/>
            </w:tcBorders>
          </w:tcPr>
          <w:p w14:paraId="9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5.2</w:t>
            </w:r>
          </w:p>
        </w:tc>
        <w:tc>
          <w:tcPr>
            <w:tcW w:type="dxa" w:w="645"/>
            <w:tcBorders>
              <w:right w:color="000000" w:sz="4" w:val="single"/>
            </w:tcBorders>
          </w:tcPr>
          <w:p w14:paraId="9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</w:t>
            </w:r>
          </w:p>
        </w:tc>
        <w:tc>
          <w:tcPr>
            <w:tcW w:type="dxa" w:w="690"/>
            <w:tcBorders>
              <w:right w:color="000000" w:sz="4" w:val="single"/>
            </w:tcBorders>
          </w:tcPr>
          <w:p w14:paraId="92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6.2</w:t>
            </w:r>
          </w:p>
        </w:tc>
        <w:tc>
          <w:tcPr>
            <w:tcW w:type="dxa" w:w="705"/>
            <w:tcBorders>
              <w:right w:color="000000" w:sz="4" w:val="single"/>
            </w:tcBorders>
          </w:tcPr>
          <w:p w14:paraId="93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8.3</w:t>
            </w:r>
          </w:p>
        </w:tc>
        <w:tc>
          <w:tcPr>
            <w:tcW w:type="dxa" w:w="765"/>
            <w:tcBorders>
              <w:right w:color="000000" w:sz="4" w:val="single"/>
            </w:tcBorders>
          </w:tcPr>
          <w:p w14:paraId="94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9.1</w:t>
            </w:r>
          </w:p>
        </w:tc>
        <w:tc>
          <w:tcPr>
            <w:tcW w:type="dxa" w:w="780"/>
            <w:tcBorders>
              <w:right w:color="000000" w:sz="4" w:val="single"/>
            </w:tcBorders>
          </w:tcPr>
          <w:p w14:paraId="9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9.2</w:t>
            </w:r>
          </w:p>
        </w:tc>
      </w:tr>
      <w:tr>
        <w:tc>
          <w:tcPr>
            <w:tcW w:type="dxa" w:w="1275"/>
          </w:tcPr>
          <w:p w14:paraId="96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243"/>
            <w:tcBorders>
              <w:right w:color="000000" w:sz="4" w:val="single"/>
            </w:tcBorders>
          </w:tcPr>
          <w:p w14:paraId="97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1067"/>
            <w:gridSpan w:val="1"/>
            <w:vMerge w:val="continue"/>
            <w:tcBorders>
              <w:top w:sz="4" w:val="nil"/>
              <w:bottom w:sz="4" w:val="nil"/>
              <w:right w:color="000000" w:sz="4" w:val="single"/>
            </w:tcBorders>
          </w:tcPr>
          <w:p/>
        </w:tc>
        <w:tc>
          <w:tcPr>
            <w:tcW w:type="dxa" w:w="735"/>
            <w:tcBorders>
              <w:right w:color="000000" w:sz="4" w:val="single"/>
            </w:tcBorders>
          </w:tcPr>
          <w:p w14:paraId="98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735"/>
            <w:tcBorders>
              <w:right w:color="000000" w:sz="4" w:val="single"/>
            </w:tcBorders>
          </w:tcPr>
          <w:p w14:paraId="99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645"/>
            <w:tcBorders>
              <w:right w:color="000000" w:sz="4" w:val="single"/>
            </w:tcBorders>
          </w:tcPr>
          <w:p w14:paraId="9A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690"/>
            <w:tcBorders>
              <w:right w:color="000000" w:sz="4" w:val="single"/>
            </w:tcBorders>
          </w:tcPr>
          <w:p w14:paraId="9B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705"/>
            <w:tcBorders>
              <w:right w:color="000000" w:sz="4" w:val="single"/>
            </w:tcBorders>
          </w:tcPr>
          <w:p w14:paraId="9C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765"/>
            <w:tcBorders>
              <w:right w:color="000000" w:sz="4" w:val="single"/>
            </w:tcBorders>
          </w:tcPr>
          <w:p w14:paraId="9D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type="dxa" w:w="780"/>
            <w:tcBorders>
              <w:right w:color="000000" w:sz="4" w:val="single"/>
            </w:tcBorders>
          </w:tcPr>
          <w:p w14:paraId="9E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</w:tr>
    </w:tbl>
    <w:p w14:paraId="9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sectPr>
      <w:headerReference r:id="rId1" w:type="default"/>
      <w:pgSz w:h="16838" w:w="11906"/>
      <w:pgMar w:bottom="851" w:footer="708" w:gutter="0" w:header="708" w:left="850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pStyle w:val="Style_1"/>
    </w:pPr>
    <w:r>
      <w:t xml:space="preserve">  </w:t>
    </w:r>
  </w:p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Calibri" w:hAnsi="Calibri"/>
    </w:rPr>
  </w:style>
  <w:style w:default="1" w:styleId="Style_4_ch" w:type="character">
    <w:name w:val="Normal"/>
    <w:link w:val="Style_4"/>
    <w:rPr>
      <w:rFonts w:ascii="Calibri" w:hAnsi="Calibri"/>
    </w:rPr>
  </w:style>
  <w:style w:styleId="Style_5" w:type="paragraph">
    <w:name w:val="toc 2"/>
    <w:next w:val="Style_4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Обычный1"/>
    <w:link w:val="Style_6_ch"/>
    <w:rPr>
      <w:rFonts w:ascii="Calibri" w:hAnsi="Calibri"/>
    </w:rPr>
  </w:style>
  <w:style w:styleId="Style_6_ch" w:type="character">
    <w:name w:val="Обычный1"/>
    <w:link w:val="Style_6"/>
    <w:rPr>
      <w:rFonts w:ascii="Calibri" w:hAnsi="Calibri"/>
    </w:rPr>
  </w:style>
  <w:style w:styleId="Style_7" w:type="paragraph">
    <w:name w:val="toc 4"/>
    <w:next w:val="Style_4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8" w:type="paragraph">
    <w:name w:val="toc 6"/>
    <w:next w:val="Style_4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next w:val="Style_4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0" w:type="paragraph">
    <w:name w:val="Основной шрифт абзаца1"/>
    <w:link w:val="Style_10_ch"/>
  </w:style>
  <w:style w:styleId="Style_10_ch" w:type="character">
    <w:name w:val="Основной шрифт абзаца1"/>
    <w:link w:val="Style_10"/>
  </w:style>
  <w:style w:styleId="Style_11" w:type="paragraph">
    <w:name w:val="heading 3"/>
    <w:next w:val="Style_4"/>
    <w:link w:val="Style_11_ch"/>
    <w:uiPriority w:val="9"/>
    <w:qFormat/>
    <w:pPr>
      <w:ind/>
      <w:outlineLvl w:val="2"/>
    </w:pPr>
    <w:rPr>
      <w:rFonts w:ascii="XO Thames" w:hAnsi="XO Thames"/>
      <w:b w:val="1"/>
      <w:i w:val="1"/>
    </w:rPr>
  </w:style>
  <w:style w:styleId="Style_11_ch" w:type="character">
    <w:name w:val="heading 3"/>
    <w:link w:val="Style_11"/>
    <w:rPr>
      <w:rFonts w:ascii="XO Thames" w:hAnsi="XO Thames"/>
      <w:b w:val="1"/>
      <w:i w:val="1"/>
    </w:rPr>
  </w:style>
  <w:style w:styleId="Style_12" w:type="paragraph">
    <w:name w:val="toc 3"/>
    <w:next w:val="Style_4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</w:rPr>
  </w:style>
  <w:style w:styleId="Style_13_ch" w:type="character">
    <w:name w:val="heading 5"/>
    <w:link w:val="Style_13"/>
    <w:rPr>
      <w:rFonts w:ascii="XO Thames" w:hAnsi="XO Thames"/>
      <w:b w:val="1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rPr>
      <w:rFonts w:ascii="XO Thames" w:hAnsi="XO Thames"/>
    </w:rPr>
  </w:style>
  <w:style w:styleId="Style_16_ch" w:type="character">
    <w:name w:val="Footnote"/>
    <w:link w:val="Style_16"/>
    <w:rPr>
      <w:rFonts w:ascii="XO Thames" w:hAnsi="XO Thames"/>
    </w:rPr>
  </w:style>
  <w:style w:styleId="Style_17" w:type="paragraph">
    <w:name w:val="toc 1"/>
    <w:next w:val="Style_4"/>
    <w:link w:val="Style_17_ch"/>
    <w:uiPriority w:val="39"/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4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footer"/>
    <w:basedOn w:val="Style_4"/>
    <w:link w:val="Style_2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footer"/>
    <w:basedOn w:val="Style_4_ch"/>
    <w:link w:val="Style_20"/>
  </w:style>
  <w:style w:styleId="Style_21" w:type="paragraph">
    <w:name w:val="toc 8"/>
    <w:next w:val="Style_4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Гиперссылка1"/>
    <w:link w:val="Style_22_ch"/>
    <w:rPr>
      <w:color w:val="0000FF"/>
      <w:u w:val="single"/>
    </w:rPr>
  </w:style>
  <w:style w:styleId="Style_22_ch" w:type="character">
    <w:name w:val="Гиперссылка1"/>
    <w:link w:val="Style_22"/>
    <w:rPr>
      <w:color w:val="0000FF"/>
      <w:u w:val="single"/>
    </w:rPr>
  </w:style>
  <w:style w:styleId="Style_23" w:type="paragraph">
    <w:name w:val="toc 5"/>
    <w:next w:val="Style_4"/>
    <w:link w:val="Style_23_ch"/>
    <w:uiPriority w:val="39"/>
    <w:pPr>
      <w:ind w:firstLine="0" w:left="800"/>
    </w:pPr>
  </w:style>
  <w:style w:styleId="Style_23_ch" w:type="character">
    <w:name w:val="toc 5"/>
    <w:link w:val="Style_23"/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Subtitle"/>
    <w:next w:val="Style_4"/>
    <w:link w:val="Style_25_ch"/>
    <w:uiPriority w:val="11"/>
    <w:qFormat/>
    <w:rPr>
      <w:rFonts w:ascii="XO Thames" w:hAnsi="XO Thames"/>
      <w:i w:val="1"/>
      <w:color w:val="616161"/>
      <w:sz w:val="24"/>
    </w:rPr>
  </w:style>
  <w:style w:styleId="Style_25_ch" w:type="character">
    <w:name w:val="Subtitle"/>
    <w:link w:val="Style_25"/>
    <w:rPr>
      <w:rFonts w:ascii="XO Thames" w:hAnsi="XO Thames"/>
      <w:i w:val="1"/>
      <w:color w:val="616161"/>
      <w:sz w:val="24"/>
    </w:rPr>
  </w:style>
  <w:style w:styleId="Style_26" w:type="paragraph">
    <w:name w:val="toc 10"/>
    <w:next w:val="Style_4"/>
    <w:link w:val="Style_26_ch"/>
    <w:uiPriority w:val="39"/>
    <w:pPr>
      <w:ind w:firstLine="0" w:left="1800"/>
    </w:pPr>
  </w:style>
  <w:style w:styleId="Style_26_ch" w:type="character">
    <w:name w:val="toc 10"/>
    <w:link w:val="Style_26"/>
  </w:style>
  <w:style w:styleId="Style_27" w:type="paragraph">
    <w:name w:val="Title"/>
    <w:next w:val="Style_4"/>
    <w:link w:val="Style_27_ch"/>
    <w:uiPriority w:val="10"/>
    <w:qFormat/>
    <w:rPr>
      <w:rFonts w:ascii="XO Thames" w:hAnsi="XO Thames"/>
      <w:b w:val="1"/>
      <w:sz w:val="52"/>
    </w:rPr>
  </w:style>
  <w:style w:styleId="Style_27_ch" w:type="character">
    <w:name w:val="Title"/>
    <w:link w:val="Style_27"/>
    <w:rPr>
      <w:rFonts w:ascii="XO Thames" w:hAnsi="XO Thames"/>
      <w:b w:val="1"/>
      <w:sz w:val="52"/>
    </w:rPr>
  </w:style>
  <w:style w:styleId="Style_28" w:type="paragraph">
    <w:name w:val="heading 4"/>
    <w:next w:val="Style_4"/>
    <w:link w:val="Style_28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8_ch" w:type="character">
    <w:name w:val="heading 4"/>
    <w:link w:val="Style_28"/>
    <w:rPr>
      <w:rFonts w:ascii="XO Thames" w:hAnsi="XO Thames"/>
      <w:b w:val="1"/>
      <w:color w:val="595959"/>
      <w:sz w:val="26"/>
    </w:rPr>
  </w:style>
  <w:style w:styleId="Style_29" w:type="paragraph">
    <w:name w:val="heading 2"/>
    <w:next w:val="Style_4"/>
    <w:link w:val="Style_29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9_ch" w:type="character">
    <w:name w:val="heading 2"/>
    <w:link w:val="Style_29"/>
    <w:rPr>
      <w:rFonts w:ascii="XO Thames" w:hAnsi="XO Thames"/>
      <w:b w:val="1"/>
      <w:color w:val="00A0FF"/>
      <w:sz w:val="26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3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2026-02-25T11:12:53Z</dcterms:modified>
</cp:coreProperties>
</file>